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B323E8">
        <w:rPr>
          <w:rFonts w:ascii="Times New Roman" w:hAnsi="Times New Roman"/>
          <w:b w:val="0"/>
          <w:sz w:val="24"/>
          <w:szCs w:val="24"/>
        </w:rPr>
        <w:t xml:space="preserve">                    </w:t>
      </w:r>
      <w:proofErr w:type="spellStart"/>
      <w:r w:rsidR="00D77162">
        <w:rPr>
          <w:rFonts w:ascii="Times New Roman" w:hAnsi="Times New Roman"/>
          <w:b w:val="0"/>
          <w:sz w:val="24"/>
          <w:szCs w:val="24"/>
        </w:rPr>
        <w:t>пр-кт</w:t>
      </w:r>
      <w:proofErr w:type="spellEnd"/>
      <w:r w:rsidR="00B323E8">
        <w:rPr>
          <w:rFonts w:ascii="Times New Roman" w:hAnsi="Times New Roman"/>
          <w:b w:val="0"/>
          <w:sz w:val="24"/>
          <w:szCs w:val="24"/>
        </w:rPr>
        <w:t xml:space="preserve"> им.</w:t>
      </w:r>
      <w:r w:rsidR="00DE2CA7">
        <w:rPr>
          <w:rFonts w:ascii="Times New Roman" w:hAnsi="Times New Roman"/>
          <w:b w:val="0"/>
          <w:sz w:val="24"/>
          <w:szCs w:val="24"/>
        </w:rPr>
        <w:t xml:space="preserve"> газеты «Красноярский рабочий», 180</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AA7311" w:rsidRPr="00AA7311">
        <w:rPr>
          <w:rFonts w:ascii="Times New Roman" w:hAnsi="Times New Roman"/>
          <w:sz w:val="24"/>
          <w:szCs w:val="24"/>
        </w:rPr>
        <w:t>7</w:t>
      </w:r>
      <w:r w:rsidR="00CA64C4" w:rsidRPr="00AA7311">
        <w:rPr>
          <w:rFonts w:ascii="Times New Roman" w:hAnsi="Times New Roman"/>
          <w:sz w:val="24"/>
          <w:szCs w:val="24"/>
        </w:rPr>
        <w:t>00</w:t>
      </w:r>
      <w:r w:rsidR="00AA7311" w:rsidRPr="00AA7311">
        <w:rPr>
          <w:rFonts w:ascii="Times New Roman" w:hAnsi="Times New Roman"/>
          <w:sz w:val="24"/>
          <w:szCs w:val="24"/>
        </w:rPr>
        <w:t>159</w:t>
      </w:r>
      <w:r w:rsidR="00CA64C4" w:rsidRPr="00AA7311">
        <w:rPr>
          <w:rFonts w:ascii="Times New Roman" w:hAnsi="Times New Roman"/>
          <w:sz w:val="24"/>
          <w:szCs w:val="24"/>
        </w:rPr>
        <w:t>:</w:t>
      </w:r>
      <w:r w:rsidR="00AA7311" w:rsidRPr="00AA7311">
        <w:rPr>
          <w:rFonts w:ascii="Times New Roman" w:hAnsi="Times New Roman"/>
          <w:sz w:val="24"/>
          <w:szCs w:val="24"/>
        </w:rPr>
        <w:t>120</w:t>
      </w:r>
      <w:r w:rsidRPr="00AA7311">
        <w:rPr>
          <w:rFonts w:ascii="Times New Roman" w:hAnsi="Times New Roman"/>
          <w:sz w:val="24"/>
          <w:szCs w:val="24"/>
        </w:rPr>
        <w:t xml:space="preserve">, расположенного по адресу: г. Красноярск, </w:t>
      </w:r>
      <w:proofErr w:type="spellStart"/>
      <w:r w:rsidR="00434C49">
        <w:rPr>
          <w:rFonts w:ascii="Times New Roman" w:hAnsi="Times New Roman"/>
          <w:sz w:val="24"/>
          <w:szCs w:val="24"/>
        </w:rPr>
        <w:t>пр-кт</w:t>
      </w:r>
      <w:proofErr w:type="spellEnd"/>
      <w:r w:rsidR="00B323E8">
        <w:rPr>
          <w:rFonts w:ascii="Times New Roman" w:hAnsi="Times New Roman"/>
          <w:sz w:val="24"/>
          <w:szCs w:val="24"/>
        </w:rPr>
        <w:t xml:space="preserve"> им.</w:t>
      </w:r>
      <w:r w:rsidR="00AA7311" w:rsidRPr="00AA7311">
        <w:rPr>
          <w:rFonts w:ascii="Times New Roman" w:hAnsi="Times New Roman"/>
          <w:sz w:val="24"/>
          <w:szCs w:val="24"/>
        </w:rPr>
        <w:t xml:space="preserve"> газеты «Красноярский рабочий», 180</w:t>
      </w:r>
      <w:r w:rsidRPr="00AA7311">
        <w:rPr>
          <w:rFonts w:ascii="Times New Roman" w:hAnsi="Times New Roman"/>
          <w:sz w:val="24"/>
          <w:szCs w:val="24"/>
        </w:rPr>
        <w:t>, предназначенного для строительства</w:t>
      </w:r>
      <w:r w:rsidR="00AA7311" w:rsidRPr="00AA7311">
        <w:rPr>
          <w:rFonts w:ascii="Times New Roman" w:hAnsi="Times New Roman"/>
          <w:sz w:val="24"/>
          <w:szCs w:val="24"/>
        </w:rPr>
        <w:t xml:space="preserve"> открытых площадок для временной парковки автотранспорта; открытых стоянок, подземных и многоэтажных гаражей-стоянок.</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 </w:t>
      </w:r>
      <w:r w:rsidR="00F52958">
        <w:t xml:space="preserve">                </w:t>
      </w:r>
      <w:r w:rsidR="00AA7311">
        <w:t xml:space="preserve">8571 </w:t>
      </w:r>
      <w:r w:rsidRPr="008E12A9">
        <w:t>кв.м</w:t>
      </w:r>
      <w:r w:rsidR="00F52958">
        <w:t>.</w:t>
      </w:r>
      <w:r w:rsidRPr="008E12A9">
        <w:t xml:space="preserve">, </w:t>
      </w:r>
      <w:r w:rsidR="00320911" w:rsidRPr="00320911">
        <w:t xml:space="preserve">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Проектом предусмотреть нормативную ширину проездов, обеспечить восстановление нарушенного благоустройства. </w:t>
      </w:r>
    </w:p>
    <w:p w:rsidR="000442FF" w:rsidRDefault="00F23771" w:rsidP="00692D5D">
      <w:pPr>
        <w:tabs>
          <w:tab w:val="left" w:pos="12155"/>
        </w:tabs>
        <w:ind w:firstLine="709"/>
        <w:jc w:val="both"/>
      </w:pPr>
      <w:r w:rsidRPr="008F4252">
        <w:t>Земельный участок ограничен</w:t>
      </w:r>
      <w:r>
        <w:t xml:space="preserve">: </w:t>
      </w:r>
      <w:r w:rsidR="0021126A" w:rsidRPr="0021126A">
        <w:t xml:space="preserve">с северо-западной, юго-западной, северо-восточной и юго-восточной сторон – смежными земельными участками. </w:t>
      </w:r>
      <w:r w:rsidRPr="00D90149">
        <w:t xml:space="preserve">Обременения земельного участка: </w:t>
      </w:r>
      <w:r w:rsidR="005D19A4">
        <w:t xml:space="preserve">охранная зона инженерных сетей </w:t>
      </w:r>
      <w:r w:rsidR="0021126A">
        <w:t>2734</w:t>
      </w:r>
      <w:r w:rsidR="005D19A4">
        <w:t xml:space="preserve"> кв. м</w:t>
      </w:r>
      <w:r w:rsidR="00C52E4B" w:rsidRPr="000163EB">
        <w:t>.</w:t>
      </w:r>
      <w:r w:rsidR="000163EB" w:rsidRPr="000163EB">
        <w:t xml:space="preserve"> </w:t>
      </w:r>
      <w:r w:rsidR="009A6E54">
        <w:t xml:space="preserve">На земельном участке самовольно размещено нежилое </w:t>
      </w:r>
      <w:r w:rsidR="000442FF">
        <w:t xml:space="preserve">строение, </w:t>
      </w:r>
      <w:r w:rsidR="00434C49">
        <w:t>принадлеж</w:t>
      </w:r>
      <w:r w:rsidR="00FD3A2D">
        <w:t>ащее неустановленно</w:t>
      </w:r>
      <w:r w:rsidR="000442FF">
        <w:t>м</w:t>
      </w:r>
      <w:r w:rsidR="00FD3A2D">
        <w:t>у лицу</w:t>
      </w:r>
      <w:r w:rsidR="000442FF">
        <w:t xml:space="preserve">. </w:t>
      </w:r>
    </w:p>
    <w:p w:rsidR="000163EB" w:rsidRPr="008E12A9" w:rsidRDefault="000163EB" w:rsidP="00692D5D">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692D5D" w:rsidRPr="00692D5D" w:rsidRDefault="00C713BA" w:rsidP="00FA5408">
      <w:pPr>
        <w:pStyle w:val="ae"/>
        <w:tabs>
          <w:tab w:val="left" w:pos="6705"/>
        </w:tabs>
        <w:spacing w:after="0"/>
        <w:ind w:right="-2" w:firstLine="709"/>
        <w:jc w:val="both"/>
      </w:pPr>
      <w:r w:rsidRPr="008E12A9">
        <w:t xml:space="preserve">Земельный участок в системе зонирования находится в зоне </w:t>
      </w:r>
      <w:r w:rsidR="00692D5D" w:rsidRPr="00692D5D">
        <w:t>делового, общественного и коммерческого назначения (ОД.1) с наложением зоны с особыми условиями использования территорий, связанными с охраной объектов культурного наследия</w:t>
      </w:r>
      <w:r w:rsidR="00040D66">
        <w:t>,</w:t>
      </w:r>
      <w:r w:rsidR="00692D5D" w:rsidRPr="00692D5D">
        <w:t xml:space="preserve"> и с наложением зоны с особыми условиями использования территорий, связанными с санитарными и экологическими ограничениями (</w:t>
      </w:r>
      <w:proofErr w:type="spellStart"/>
      <w:r w:rsidR="00692D5D" w:rsidRPr="00692D5D">
        <w:t>водоохранная</w:t>
      </w:r>
      <w:proofErr w:type="spellEnd"/>
      <w:r w:rsidR="00692D5D" w:rsidRPr="00692D5D">
        <w:t xml:space="preserve"> зона р. Енисей).</w:t>
      </w:r>
    </w:p>
    <w:p w:rsidR="00AA7A9A" w:rsidRPr="00883ACD" w:rsidRDefault="003123A1" w:rsidP="00883AC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Виды разрешенного использования, установленные г</w:t>
      </w:r>
      <w:r w:rsidR="007E2DAA">
        <w:rPr>
          <w:rFonts w:ascii="Times New Roman" w:hAnsi="Times New Roman" w:cs="Times New Roman"/>
          <w:sz w:val="24"/>
          <w:szCs w:val="24"/>
        </w:rPr>
        <w:t>радостроительным регламентом</w:t>
      </w:r>
      <w:r w:rsidR="007E2DAA" w:rsidRPr="007E2DAA">
        <w:rPr>
          <w:rFonts w:ascii="Times New Roman" w:hAnsi="Times New Roman" w:cs="Times New Roman"/>
          <w:sz w:val="24"/>
          <w:szCs w:val="24"/>
        </w:rPr>
        <w:t xml:space="preserve"> территориальной зоны</w:t>
      </w:r>
      <w:r w:rsidR="00C713BA" w:rsidRPr="007E2DAA">
        <w:rPr>
          <w:rFonts w:ascii="Times New Roman" w:hAnsi="Times New Roman" w:cs="Times New Roman"/>
          <w:sz w:val="24"/>
          <w:szCs w:val="24"/>
        </w:rPr>
        <w:t xml:space="preserve">: </w:t>
      </w:r>
      <w:r w:rsidR="00AA7A9A" w:rsidRPr="00AA7A9A">
        <w:rPr>
          <w:rFonts w:ascii="Times New Roman" w:hAnsi="Times New Roman" w:cs="Times New Roman"/>
          <w:sz w:val="24"/>
          <w:szCs w:val="24"/>
        </w:rPr>
        <w:t>размеще</w:t>
      </w:r>
      <w:r w:rsidR="00965A7D">
        <w:rPr>
          <w:rFonts w:ascii="Times New Roman" w:hAnsi="Times New Roman" w:cs="Times New Roman"/>
          <w:sz w:val="24"/>
          <w:szCs w:val="24"/>
        </w:rPr>
        <w:t>ние</w:t>
      </w:r>
      <w:r w:rsidR="00AA7A9A" w:rsidRPr="00AA7A9A">
        <w:rPr>
          <w:rFonts w:ascii="Times New Roman" w:hAnsi="Times New Roman" w:cs="Times New Roman"/>
          <w:sz w:val="24"/>
          <w:szCs w:val="24"/>
        </w:rPr>
        <w:t xml:space="preserve">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образования, административных, научно-исследовательских учреждений, стоянок автомобильного транспорта, </w:t>
      </w:r>
      <w:r w:rsidR="00F85801" w:rsidRPr="00F85801">
        <w:rPr>
          <w:rFonts w:ascii="Times New Roman" w:hAnsi="Times New Roman" w:cs="Times New Roman"/>
          <w:sz w:val="24"/>
          <w:szCs w:val="24"/>
        </w:rPr>
        <w:t>подземных и многоэтажных гаражей-стоянок,</w:t>
      </w:r>
      <w:r w:rsidR="00F85801" w:rsidRPr="00710A08">
        <w:t xml:space="preserve"> </w:t>
      </w:r>
      <w:r w:rsidR="00AA7A9A" w:rsidRPr="00AA7A9A">
        <w:rPr>
          <w:rFonts w:ascii="Times New Roman" w:hAnsi="Times New Roman" w:cs="Times New Roman"/>
          <w:sz w:val="24"/>
          <w:szCs w:val="24"/>
        </w:rPr>
        <w:t>объектов делового, финансового назначения, иных объектов, связанных с обеспечением жизнедеятельности граждан.</w:t>
      </w:r>
      <w:proofErr w:type="gramEnd"/>
    </w:p>
    <w:p w:rsidR="00710A08" w:rsidRPr="00710A08" w:rsidRDefault="00710A08" w:rsidP="00710A08">
      <w:pPr>
        <w:ind w:right="-2" w:firstLine="709"/>
        <w:jc w:val="both"/>
      </w:pPr>
      <w:r w:rsidRPr="00710A08">
        <w:t xml:space="preserve">Использование земельного участка для </w:t>
      </w:r>
      <w:r w:rsidR="00BE6660">
        <w:t xml:space="preserve">строительства </w:t>
      </w:r>
      <w:r w:rsidRPr="00710A08">
        <w:t>открытых площадок для временной парковки автотранспорта, открытых стоянок, подземных</w:t>
      </w:r>
      <w:r w:rsidR="009E1445">
        <w:t xml:space="preserve"> и многоэтажных гаражей-стоянок</w:t>
      </w:r>
      <w:r w:rsidRPr="00710A08">
        <w:t xml:space="preserve"> соответствует градостроительному регламенту территориальной зоны. Красные линии принять с</w:t>
      </w:r>
      <w:r w:rsidR="00E9684D">
        <w:t>огласно материалам Г</w:t>
      </w:r>
      <w:r w:rsidRPr="00710A08">
        <w:t>енерального плана города; расстояние от красной линии до линии застройки</w:t>
      </w:r>
      <w:r w:rsidR="008C79EE" w:rsidRPr="008C79EE">
        <w:t xml:space="preserve"> </w:t>
      </w:r>
      <w:r w:rsidR="008C79EE">
        <w:t>определить проектом</w:t>
      </w:r>
      <w:r w:rsidRPr="00710A08">
        <w:t xml:space="preserve">, объект запроектировать в границах землеотвода с учетом организации </w:t>
      </w:r>
      <w:proofErr w:type="spellStart"/>
      <w:r w:rsidR="008C79EE">
        <w:t>мультимодального</w:t>
      </w:r>
      <w:proofErr w:type="spellEnd"/>
      <w:r w:rsidR="008C79EE">
        <w:t xml:space="preserve"> транспортно-пересадочного узла, </w:t>
      </w:r>
      <w:proofErr w:type="spellStart"/>
      <w:r w:rsidRPr="00710A08">
        <w:t>приобъектной</w:t>
      </w:r>
      <w:proofErr w:type="spellEnd"/>
      <w:r w:rsidRPr="00710A08">
        <w:t xml:space="preserve"> территории (площади), открытых парковок и проездов.  </w:t>
      </w:r>
    </w:p>
    <w:p w:rsidR="00710A08" w:rsidRPr="00710A08" w:rsidRDefault="00710A08" w:rsidP="00710A08">
      <w:pPr>
        <w:ind w:right="-2" w:firstLine="709"/>
        <w:jc w:val="both"/>
      </w:pPr>
      <w:r w:rsidRPr="00710A08">
        <w:t>Условия и интенсивность освоения территории:</w:t>
      </w:r>
    </w:p>
    <w:p w:rsidR="00710A08" w:rsidRPr="00710A08" w:rsidRDefault="00710A08" w:rsidP="00F52958">
      <w:pPr>
        <w:numPr>
          <w:ilvl w:val="0"/>
          <w:numId w:val="4"/>
        </w:numPr>
        <w:tabs>
          <w:tab w:val="left" w:pos="1134"/>
        </w:tabs>
        <w:ind w:left="0" w:right="-2" w:firstLine="709"/>
        <w:jc w:val="both"/>
      </w:pPr>
      <w:r w:rsidRPr="00710A08">
        <w:t>этажность, площадь застройки и иные технико-экономические показатели определить проектом согласно нормативным требованиям к проектированию, предусмотреть органичное взаимодействие с набережной р. Енисей;</w:t>
      </w:r>
    </w:p>
    <w:p w:rsidR="00710A08" w:rsidRPr="00710A08" w:rsidRDefault="00710A08" w:rsidP="00F52958">
      <w:pPr>
        <w:numPr>
          <w:ilvl w:val="0"/>
          <w:numId w:val="4"/>
        </w:numPr>
        <w:tabs>
          <w:tab w:val="left" w:pos="1134"/>
        </w:tabs>
        <w:ind w:left="0" w:right="-2" w:firstLine="709"/>
        <w:jc w:val="both"/>
      </w:pPr>
      <w:r w:rsidRPr="00710A08">
        <w:t xml:space="preserve">предусмотреть органичное взаимодействие с существующей и проектируемой застройкой прилегающих участков; </w:t>
      </w:r>
    </w:p>
    <w:p w:rsidR="00710A08" w:rsidRPr="00710A08" w:rsidRDefault="00710A08" w:rsidP="00F52958">
      <w:pPr>
        <w:numPr>
          <w:ilvl w:val="0"/>
          <w:numId w:val="4"/>
        </w:numPr>
        <w:tabs>
          <w:tab w:val="left" w:pos="1134"/>
        </w:tabs>
        <w:ind w:left="0" w:right="-2" w:firstLine="709"/>
        <w:jc w:val="both"/>
      </w:pPr>
      <w:r w:rsidRPr="00710A08">
        <w:t xml:space="preserve">проектом предусмотреть благоустройство и озеленение территории в комплексе с уже существующим и проектируемым благоустройством прилегающих участков; </w:t>
      </w:r>
    </w:p>
    <w:p w:rsidR="00710A08" w:rsidRDefault="00710A08" w:rsidP="00F52958">
      <w:pPr>
        <w:numPr>
          <w:ilvl w:val="0"/>
          <w:numId w:val="4"/>
        </w:numPr>
        <w:tabs>
          <w:tab w:val="left" w:pos="1134"/>
        </w:tabs>
        <w:ind w:left="0" w:right="-2" w:firstLine="709"/>
        <w:jc w:val="both"/>
      </w:pPr>
      <w:r w:rsidRPr="00710A08">
        <w:t>проектом предусмотреть соблюдение требований строительных норм и правил в части обеспечения стояночными и парковочными местами для автомобильного транспорта;</w:t>
      </w:r>
    </w:p>
    <w:p w:rsidR="00883ACD" w:rsidRPr="00710A08" w:rsidRDefault="00883ACD" w:rsidP="00F52958">
      <w:pPr>
        <w:numPr>
          <w:ilvl w:val="0"/>
          <w:numId w:val="4"/>
        </w:numPr>
        <w:tabs>
          <w:tab w:val="left" w:pos="1134"/>
        </w:tabs>
        <w:ind w:left="0" w:right="-2" w:firstLine="709"/>
        <w:jc w:val="both"/>
      </w:pPr>
      <w:r>
        <w:t>выполнить моделирование транспортных потоков, учесть необходимость организации наземно-подземных площадок для отстоя авто</w:t>
      </w:r>
      <w:r w:rsidR="009E1445">
        <w:t xml:space="preserve">мобильного </w:t>
      </w:r>
      <w:r>
        <w:t>транспорта</w:t>
      </w:r>
      <w:r w:rsidRPr="00883ACD">
        <w:t>;</w:t>
      </w:r>
    </w:p>
    <w:p w:rsidR="00710A08" w:rsidRPr="00710A08" w:rsidRDefault="00710A08" w:rsidP="00F52958">
      <w:pPr>
        <w:numPr>
          <w:ilvl w:val="0"/>
          <w:numId w:val="4"/>
        </w:numPr>
        <w:tabs>
          <w:tab w:val="left" w:pos="1134"/>
        </w:tabs>
        <w:ind w:left="0" w:right="-2" w:firstLine="709"/>
        <w:jc w:val="both"/>
      </w:pPr>
      <w:r w:rsidRPr="00710A08">
        <w:t xml:space="preserve"> архитектурно-</w:t>
      </w:r>
      <w:proofErr w:type="gramStart"/>
      <w:r w:rsidRPr="00710A08">
        <w:t>планировочным решением</w:t>
      </w:r>
      <w:proofErr w:type="gramEnd"/>
      <w:r w:rsidRPr="00710A08">
        <w:t xml:space="preserve"> учесть размещение объекта в зоне особой градостроительной ценности городской территории;</w:t>
      </w:r>
    </w:p>
    <w:p w:rsidR="00710A08" w:rsidRPr="00710A08" w:rsidRDefault="00710A08" w:rsidP="00F52958">
      <w:pPr>
        <w:numPr>
          <w:ilvl w:val="0"/>
          <w:numId w:val="4"/>
        </w:numPr>
        <w:tabs>
          <w:tab w:val="left" w:pos="1134"/>
        </w:tabs>
        <w:ind w:left="0" w:right="-2" w:firstLine="709"/>
        <w:jc w:val="both"/>
      </w:pPr>
      <w:r w:rsidRPr="00710A08">
        <w:lastRenderedPageBreak/>
        <w:t>ввиду градостроительной значимости участка эскизные варианты представить на предварительное согласование в Управление архитектуры, проект подлежит рассмотрению на градостроительном Совете.</w:t>
      </w:r>
    </w:p>
    <w:p w:rsidR="00710A08" w:rsidRPr="00710A08" w:rsidRDefault="00710A08" w:rsidP="00710A08">
      <w:pPr>
        <w:ind w:right="-2" w:firstLine="709"/>
        <w:jc w:val="both"/>
      </w:pPr>
      <w:r w:rsidRPr="00710A08">
        <w:t>Список ограничений по использованию и обременений обязательствами:</w:t>
      </w:r>
    </w:p>
    <w:p w:rsidR="00710A08" w:rsidRPr="00710A08" w:rsidRDefault="00F52958" w:rsidP="00F52958">
      <w:pPr>
        <w:tabs>
          <w:tab w:val="left" w:pos="1134"/>
        </w:tabs>
        <w:ind w:right="-2" w:firstLine="709"/>
        <w:jc w:val="both"/>
      </w:pPr>
      <w:r>
        <w:t>1.</w:t>
      </w:r>
      <w:r>
        <w:tab/>
      </w:r>
      <w:r w:rsidR="00710A08" w:rsidRPr="00710A08">
        <w:t>Использовать участок согласно градостроительному регламенту в системе зонирования.</w:t>
      </w:r>
    </w:p>
    <w:p w:rsidR="00710A08" w:rsidRPr="00710A08" w:rsidRDefault="00F52958" w:rsidP="00F52958">
      <w:pPr>
        <w:tabs>
          <w:tab w:val="left" w:pos="1134"/>
        </w:tabs>
        <w:ind w:right="-2" w:firstLine="709"/>
        <w:jc w:val="both"/>
      </w:pPr>
      <w:r>
        <w:t>2.</w:t>
      </w:r>
      <w:r>
        <w:tab/>
      </w:r>
      <w:r w:rsidR="00710A08" w:rsidRPr="00710A08">
        <w:t>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w:t>
      </w:r>
    </w:p>
    <w:p w:rsidR="00710A08" w:rsidRPr="00710A08" w:rsidRDefault="00F52958" w:rsidP="00F52958">
      <w:pPr>
        <w:tabs>
          <w:tab w:val="left" w:pos="1134"/>
        </w:tabs>
        <w:ind w:right="-2" w:firstLine="709"/>
        <w:jc w:val="both"/>
      </w:pPr>
      <w:r>
        <w:t>3.</w:t>
      </w:r>
      <w:r>
        <w:tab/>
      </w:r>
      <w:r w:rsidR="00710A08" w:rsidRPr="00710A08">
        <w:t>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710A08" w:rsidRPr="00710A08" w:rsidRDefault="00F52958" w:rsidP="00F52958">
      <w:pPr>
        <w:tabs>
          <w:tab w:val="left" w:pos="1134"/>
        </w:tabs>
        <w:ind w:right="-2" w:firstLine="709"/>
        <w:jc w:val="both"/>
      </w:pPr>
      <w:r>
        <w:t>4.</w:t>
      </w:r>
      <w:r>
        <w:tab/>
      </w:r>
      <w:r w:rsidR="00710A08" w:rsidRPr="00710A08">
        <w:t>Ограничения по использованию земельных участков, на которых расположены инженерные сети:</w:t>
      </w:r>
    </w:p>
    <w:p w:rsidR="00710A08" w:rsidRDefault="00710A08" w:rsidP="00D77961">
      <w:pPr>
        <w:numPr>
          <w:ilvl w:val="0"/>
          <w:numId w:val="5"/>
        </w:numPr>
        <w:tabs>
          <w:tab w:val="left" w:pos="1134"/>
        </w:tabs>
        <w:ind w:left="0" w:right="-2" w:firstLine="709"/>
        <w:jc w:val="both"/>
      </w:pPr>
      <w:r w:rsidRPr="00710A08">
        <w:t>проектом учесть охранные зоны проектируемых инженерных сетей коммуникаций и объектов</w:t>
      </w:r>
      <w:r w:rsidR="00920EF2">
        <w:t>,</w:t>
      </w:r>
      <w:r w:rsidR="00920EF2" w:rsidRPr="00920EF2">
        <w:t xml:space="preserve"> </w:t>
      </w:r>
      <w:r w:rsidR="00920EF2">
        <w:t>п</w:t>
      </w:r>
      <w:r w:rsidR="00920EF2" w:rsidRPr="00320911">
        <w:t>ри необходимости предусмотреть вынос инженерных сетей с застраиваемой территории;</w:t>
      </w:r>
    </w:p>
    <w:p w:rsidR="00920EF2" w:rsidRPr="00710A08" w:rsidRDefault="00920EF2" w:rsidP="00D77961">
      <w:pPr>
        <w:numPr>
          <w:ilvl w:val="0"/>
          <w:numId w:val="5"/>
        </w:numPr>
        <w:tabs>
          <w:tab w:val="left" w:pos="1134"/>
        </w:tabs>
        <w:ind w:left="0" w:right="-2" w:firstLine="709"/>
        <w:jc w:val="both"/>
      </w:pPr>
      <w:r w:rsidRPr="00320911">
        <w:t>инженерные сети запроектировать в соответствии с техническими условиями эксплуатационных служб и организаций</w:t>
      </w:r>
      <w:r w:rsidRPr="00920EF2">
        <w:t>;</w:t>
      </w:r>
    </w:p>
    <w:p w:rsidR="00710A08" w:rsidRPr="00710A08" w:rsidRDefault="00920EF2" w:rsidP="00D77961">
      <w:pPr>
        <w:numPr>
          <w:ilvl w:val="0"/>
          <w:numId w:val="5"/>
        </w:numPr>
        <w:tabs>
          <w:tab w:val="left" w:pos="1134"/>
        </w:tabs>
        <w:ind w:left="0" w:right="-2" w:firstLine="709"/>
        <w:jc w:val="both"/>
      </w:pPr>
      <w:r>
        <w:t>л</w:t>
      </w:r>
      <w:r w:rsidR="00710A08" w:rsidRPr="00710A08">
        <w:t>юбое строительство на участке производить при наличии согласования эксплуатационных инженерных служб города;</w:t>
      </w:r>
    </w:p>
    <w:p w:rsidR="00710A08" w:rsidRPr="00710A08" w:rsidRDefault="00920EF2" w:rsidP="00D77961">
      <w:pPr>
        <w:numPr>
          <w:ilvl w:val="0"/>
          <w:numId w:val="5"/>
        </w:numPr>
        <w:tabs>
          <w:tab w:val="left" w:pos="1134"/>
        </w:tabs>
        <w:ind w:left="0" w:right="-2" w:firstLine="709"/>
        <w:jc w:val="both"/>
      </w:pPr>
      <w:r>
        <w:t>у</w:t>
      </w:r>
      <w:r w:rsidR="00710A08" w:rsidRPr="00710A08">
        <w:t>частки охранных зон существующих инженерных сетей ограничиваются в использовании согласно действующих нормативных и законодательных актов, в охранных зонах инженерных коммуникаций запрещается:</w:t>
      </w:r>
    </w:p>
    <w:p w:rsidR="00710A08" w:rsidRPr="00710A08" w:rsidRDefault="00710A08" w:rsidP="00D77961">
      <w:pPr>
        <w:tabs>
          <w:tab w:val="left" w:pos="1134"/>
        </w:tabs>
        <w:ind w:right="-2" w:firstLine="709"/>
        <w:jc w:val="both"/>
      </w:pPr>
      <w:r w:rsidRPr="00710A08">
        <w:t>а)</w:t>
      </w:r>
      <w:r w:rsidR="00D77961">
        <w:tab/>
      </w:r>
      <w:r w:rsidRPr="00710A08">
        <w:t>строить любые капитальные объекты, возводить временные сооружения;</w:t>
      </w:r>
    </w:p>
    <w:p w:rsidR="00710A08" w:rsidRPr="00710A08" w:rsidRDefault="00D77961" w:rsidP="00D77961">
      <w:pPr>
        <w:tabs>
          <w:tab w:val="left" w:pos="1134"/>
        </w:tabs>
        <w:ind w:right="-2" w:firstLine="709"/>
        <w:jc w:val="both"/>
      </w:pPr>
      <w:r>
        <w:t>б)</w:t>
      </w:r>
      <w:r>
        <w:tab/>
      </w:r>
      <w:r w:rsidR="00710A08" w:rsidRPr="00710A08">
        <w:t>выполнять земляные работы без согласования с эксплуатирующими службами;</w:t>
      </w:r>
    </w:p>
    <w:p w:rsidR="00710A08" w:rsidRPr="00710A08" w:rsidRDefault="00D77961" w:rsidP="00D77961">
      <w:pPr>
        <w:tabs>
          <w:tab w:val="left" w:pos="1134"/>
        </w:tabs>
        <w:ind w:right="-2" w:firstLine="709"/>
        <w:jc w:val="both"/>
      </w:pPr>
      <w:r>
        <w:t>в)</w:t>
      </w:r>
      <w:r>
        <w:tab/>
      </w:r>
      <w:r w:rsidR="00710A08" w:rsidRPr="00710A08">
        <w:t>высаживать высокорастущие деревья и кустарники;</w:t>
      </w:r>
    </w:p>
    <w:p w:rsidR="00710A08" w:rsidRPr="00710A08" w:rsidRDefault="00D77961" w:rsidP="00D77961">
      <w:pPr>
        <w:tabs>
          <w:tab w:val="left" w:pos="1134"/>
        </w:tabs>
        <w:ind w:right="-2" w:firstLine="709"/>
        <w:jc w:val="both"/>
      </w:pPr>
      <w:r>
        <w:t>г)</w:t>
      </w:r>
      <w:r>
        <w:tab/>
      </w:r>
      <w:r w:rsidR="00710A08" w:rsidRPr="00710A08">
        <w:t>устраивать свалки, складирование материалов и оборудования, обустраивать открытые склады;</w:t>
      </w:r>
    </w:p>
    <w:p w:rsidR="00710A08" w:rsidRPr="00710A08" w:rsidRDefault="00D77961" w:rsidP="00D77961">
      <w:pPr>
        <w:tabs>
          <w:tab w:val="left" w:pos="1134"/>
        </w:tabs>
        <w:ind w:right="-2" w:firstLine="709"/>
        <w:jc w:val="both"/>
      </w:pPr>
      <w:r>
        <w:t>д)</w:t>
      </w:r>
      <w:r>
        <w:tab/>
      </w:r>
      <w:r w:rsidR="00710A08" w:rsidRPr="00710A08">
        <w:t>препятствовать доступу персонала эксплуатационных служб и смежных землепользователей к объектам инженерной инфраструктуры для их прокладки, ремонта и эксплуатации.</w:t>
      </w:r>
    </w:p>
    <w:p w:rsidR="00710A08" w:rsidRDefault="00D77961" w:rsidP="00D77961">
      <w:pPr>
        <w:tabs>
          <w:tab w:val="left" w:pos="1134"/>
        </w:tabs>
        <w:ind w:right="-2" w:firstLine="709"/>
        <w:jc w:val="both"/>
      </w:pPr>
      <w:r>
        <w:t>5.</w:t>
      </w:r>
      <w:r>
        <w:tab/>
      </w:r>
      <w:r w:rsidR="00710A08" w:rsidRPr="00710A08">
        <w:t>Режим ведения хозяйственной деятельности в пределах водоохраной зоны р. Енисей регламентируется Водным кодексом РФ.</w:t>
      </w:r>
    </w:p>
    <w:p w:rsidR="00471AEF" w:rsidRPr="00710A08" w:rsidRDefault="00471AEF" w:rsidP="00710A08">
      <w:pPr>
        <w:ind w:right="-2" w:firstLine="709"/>
        <w:jc w:val="both"/>
      </w:pPr>
    </w:p>
    <w:p w:rsidR="00C52E4B" w:rsidRDefault="00C52E4B" w:rsidP="00634A8D">
      <w:pPr>
        <w:pStyle w:val="a3"/>
        <w:ind w:firstLine="709"/>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5C4D64" w:rsidRDefault="00F23771" w:rsidP="00D77961">
      <w:pPr>
        <w:pStyle w:val="a3"/>
        <w:numPr>
          <w:ilvl w:val="0"/>
          <w:numId w:val="7"/>
        </w:numPr>
        <w:tabs>
          <w:tab w:val="left" w:pos="1134"/>
        </w:tabs>
        <w:ind w:left="0" w:firstLine="709"/>
      </w:pPr>
      <w:r w:rsidRPr="005C4D64">
        <w:t xml:space="preserve">Заключение о возможности электроснабжения, выданное </w:t>
      </w:r>
      <w:r w:rsidR="00DC3CB9" w:rsidRPr="007A5040">
        <w:t>филиалом ОАО «МРСК Сибири» - «Красноярскэнерго»</w:t>
      </w:r>
      <w:r w:rsidR="009E6F46">
        <w:t xml:space="preserve"> </w:t>
      </w:r>
      <w:r w:rsidRPr="005C4D64">
        <w:t xml:space="preserve">от </w:t>
      </w:r>
      <w:r w:rsidR="009E6F46">
        <w:t>13</w:t>
      </w:r>
      <w:r w:rsidRPr="005C4D64">
        <w:t>.</w:t>
      </w:r>
      <w:r w:rsidR="00F85D9A" w:rsidRPr="005C4D64">
        <w:t>1</w:t>
      </w:r>
      <w:r w:rsidR="009E6F46">
        <w:t>2</w:t>
      </w:r>
      <w:r w:rsidRPr="005C4D64">
        <w:t>.201</w:t>
      </w:r>
      <w:r w:rsidR="00EE2E30" w:rsidRPr="005C4D64">
        <w:t>3</w:t>
      </w:r>
      <w:r w:rsidR="005C4D64">
        <w:t xml:space="preserve"> №</w:t>
      </w:r>
      <w:r w:rsidR="009E6F46">
        <w:t xml:space="preserve"> 1.3/03/19025-исх</w:t>
      </w:r>
      <w:r w:rsidRPr="005C4D64">
        <w:t>:</w:t>
      </w:r>
    </w:p>
    <w:p w:rsidR="00F23771" w:rsidRDefault="00F23771" w:rsidP="00D77961">
      <w:pPr>
        <w:pStyle w:val="a3"/>
        <w:ind w:firstLine="709"/>
      </w:pPr>
      <w:r w:rsidRPr="00D809C8">
        <w:t xml:space="preserve">Максимальная мощность: </w:t>
      </w:r>
      <w:r w:rsidR="009E6F46">
        <w:t>не более</w:t>
      </w:r>
      <w:r w:rsidR="00A459A8">
        <w:t xml:space="preserve"> </w:t>
      </w:r>
      <w:r w:rsidR="009E6F46">
        <w:t>3</w:t>
      </w:r>
      <w:r w:rsidR="00D2449C">
        <w:t>5</w:t>
      </w:r>
      <w:r w:rsidR="0095730E" w:rsidRPr="00D809C8">
        <w:t>0</w:t>
      </w:r>
      <w:r w:rsidRPr="00D809C8">
        <w:t xml:space="preserve"> кВт.</w:t>
      </w:r>
    </w:p>
    <w:p w:rsidR="008211D5" w:rsidRPr="00802810" w:rsidRDefault="00802810" w:rsidP="00D77961">
      <w:pPr>
        <w:pStyle w:val="a3"/>
        <w:ind w:firstLine="709"/>
      </w:pPr>
      <w:r>
        <w:t>В качестве технического решения по технологическому присоединению объекта капитального строительства предлагается</w:t>
      </w:r>
      <w:r w:rsidRPr="00802810">
        <w:t>:</w:t>
      </w:r>
    </w:p>
    <w:p w:rsidR="00802810" w:rsidRPr="00B8651A" w:rsidRDefault="00802810" w:rsidP="00D77961">
      <w:pPr>
        <w:pStyle w:val="a3"/>
        <w:numPr>
          <w:ilvl w:val="0"/>
          <w:numId w:val="8"/>
        </w:numPr>
        <w:tabs>
          <w:tab w:val="left" w:pos="1134"/>
        </w:tabs>
        <w:ind w:left="0" w:firstLine="709"/>
      </w:pPr>
      <w:r>
        <w:t xml:space="preserve">строительство </w:t>
      </w:r>
      <w:proofErr w:type="spellStart"/>
      <w:r>
        <w:t>одноцепной</w:t>
      </w:r>
      <w:proofErr w:type="spellEnd"/>
      <w:r>
        <w:t xml:space="preserve"> КЛ 6 кВ </w:t>
      </w:r>
      <w:r w:rsidR="00811CB8">
        <w:t xml:space="preserve">от РУ 6 кВ </w:t>
      </w:r>
      <w:r>
        <w:t>ТП № 231 6/0,4 кВ (длину и сечение КЛ 6 кВ определить проектом) с центром питания ПС № 23 110/6 кВ</w:t>
      </w:r>
      <w:r w:rsidR="00B8651A">
        <w:t xml:space="preserve"> «</w:t>
      </w:r>
      <w:proofErr w:type="gramStart"/>
      <w:r w:rsidR="00B8651A">
        <w:t>Предмостная</w:t>
      </w:r>
      <w:proofErr w:type="gramEnd"/>
      <w:r w:rsidR="00B8651A">
        <w:t>» до проектируемой ТП 6/0,4 кВ</w:t>
      </w:r>
      <w:r w:rsidR="00B8651A" w:rsidRPr="00B8651A">
        <w:t>;</w:t>
      </w:r>
    </w:p>
    <w:p w:rsidR="00B8651A" w:rsidRPr="00B8651A" w:rsidRDefault="00B8651A" w:rsidP="00D77961">
      <w:pPr>
        <w:pStyle w:val="a3"/>
        <w:numPr>
          <w:ilvl w:val="0"/>
          <w:numId w:val="8"/>
        </w:numPr>
        <w:tabs>
          <w:tab w:val="left" w:pos="1134"/>
        </w:tabs>
        <w:ind w:left="0" w:firstLine="709"/>
      </w:pPr>
      <w:r>
        <w:t>строительство ТП 6/0,4 кВ (мощность и тип трансформаторов определить проектом)</w:t>
      </w:r>
      <w:r w:rsidRPr="00B8651A">
        <w:t>;</w:t>
      </w:r>
    </w:p>
    <w:p w:rsidR="00B8651A" w:rsidRPr="00802810" w:rsidRDefault="00B8651A" w:rsidP="00D77961">
      <w:pPr>
        <w:pStyle w:val="a3"/>
        <w:numPr>
          <w:ilvl w:val="0"/>
          <w:numId w:val="8"/>
        </w:numPr>
        <w:tabs>
          <w:tab w:val="left" w:pos="1134"/>
        </w:tabs>
        <w:ind w:left="0" w:firstLine="709"/>
      </w:pPr>
      <w:r>
        <w:t>строительство</w:t>
      </w:r>
      <w:r w:rsidRPr="00B8651A">
        <w:t xml:space="preserve"> </w:t>
      </w:r>
      <w:r>
        <w:t xml:space="preserve">КЛ 0,4 кВ от </w:t>
      </w:r>
      <w:proofErr w:type="gramStart"/>
      <w:r>
        <w:t>проектируемой</w:t>
      </w:r>
      <w:proofErr w:type="gramEnd"/>
      <w:r>
        <w:t xml:space="preserve"> ТП 6/0,4 кВ до ВРУ 0,4 кВ объекта.</w:t>
      </w:r>
    </w:p>
    <w:p w:rsidR="00471AEF" w:rsidRDefault="00AF1314" w:rsidP="00D77961">
      <w:pPr>
        <w:pStyle w:val="a3"/>
        <w:ind w:firstLine="709"/>
      </w:pPr>
      <w:r>
        <w:t>В</w:t>
      </w:r>
      <w:r w:rsidRPr="00E21829">
        <w:t xml:space="preserve"> соответствии с приказом РЭК Красноярского края от 29.12.2012 № 465-п </w:t>
      </w:r>
      <w:r>
        <w:t>п</w:t>
      </w:r>
      <w:r w:rsidRPr="00E21829">
        <w:t>лата з</w:t>
      </w:r>
      <w:r>
        <w:t xml:space="preserve">а технологическое присоединение к сетям филиала </w:t>
      </w:r>
      <w:r w:rsidRPr="00E21829">
        <w:t>ОАО «МРСК Сибири» - «Красноярскэнерго»</w:t>
      </w:r>
      <w:r>
        <w:t xml:space="preserve"> рассчитывается по стандартизированным ставкам. </w:t>
      </w:r>
      <w:r w:rsidR="00F85D9A" w:rsidRPr="005C4D64">
        <w:t xml:space="preserve">Технические условия на подключение к электрическим сетям </w:t>
      </w:r>
      <w:r w:rsidR="00767FB6">
        <w:t>филиала</w:t>
      </w:r>
      <w:r w:rsidR="00767FB6" w:rsidRPr="007A5040">
        <w:t xml:space="preserve"> ОАО «МРСК Сибири» - «Красноярскэнерго»</w:t>
      </w:r>
      <w:r w:rsidR="00767FB6">
        <w:t xml:space="preserve"> </w:t>
      </w:r>
      <w:r w:rsidR="00F85D9A" w:rsidRPr="005C4D64">
        <w:t>будут выданы при заключении договора технологического присоединения в адрес правообладателя земельного участка.</w:t>
      </w:r>
      <w:r>
        <w:t xml:space="preserve">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 </w:t>
      </w:r>
      <w:r w:rsidR="00F85D9A" w:rsidRPr="005C4D64">
        <w:t xml:space="preserve"> </w:t>
      </w:r>
    </w:p>
    <w:p w:rsidR="00F85D9A" w:rsidRPr="005C4D64" w:rsidRDefault="00796FA0" w:rsidP="00D77961">
      <w:pPr>
        <w:pStyle w:val="a3"/>
        <w:ind w:firstLine="709"/>
      </w:pPr>
      <w:r>
        <w:lastRenderedPageBreak/>
        <w:t>С</w:t>
      </w:r>
      <w:r w:rsidR="00F85D9A" w:rsidRPr="005C4D64">
        <w:t>рок подключения проектируемого объекта будет определен при заключении договора технологического присоединения к электрическим сетям</w:t>
      </w:r>
      <w:r w:rsidR="0095730E">
        <w:t>.</w:t>
      </w:r>
    </w:p>
    <w:p w:rsidR="0095730E" w:rsidRPr="0048054A" w:rsidRDefault="0095730E" w:rsidP="00D77961">
      <w:pPr>
        <w:pStyle w:val="a3"/>
        <w:numPr>
          <w:ilvl w:val="0"/>
          <w:numId w:val="9"/>
        </w:numPr>
        <w:tabs>
          <w:tab w:val="left" w:pos="1134"/>
        </w:tabs>
        <w:ind w:left="0" w:firstLine="709"/>
      </w:pPr>
      <w:r w:rsidRPr="0048054A">
        <w:t>На теплоснабже</w:t>
      </w:r>
      <w:r>
        <w:t xml:space="preserve">ние, </w:t>
      </w:r>
      <w:proofErr w:type="gramStart"/>
      <w:r>
        <w:t>выданные</w:t>
      </w:r>
      <w:proofErr w:type="gramEnd"/>
      <w:r>
        <w:t xml:space="preserve"> ОАО «Красноярская </w:t>
      </w:r>
      <w:proofErr w:type="spellStart"/>
      <w:r>
        <w:t>теплотранспортная</w:t>
      </w:r>
      <w:proofErr w:type="spellEnd"/>
      <w:r>
        <w:t xml:space="preserve"> компания</w:t>
      </w:r>
      <w:r w:rsidRPr="0048054A">
        <w:t xml:space="preserve">» от </w:t>
      </w:r>
      <w:r w:rsidR="00D84631">
        <w:t>11</w:t>
      </w:r>
      <w:r w:rsidRPr="0048054A">
        <w:t>.</w:t>
      </w:r>
      <w:r w:rsidR="00D84631">
        <w:t>12</w:t>
      </w:r>
      <w:r w:rsidRPr="0048054A">
        <w:t>.201</w:t>
      </w:r>
      <w:r>
        <w:t>3</w:t>
      </w:r>
      <w:r w:rsidR="009D2FA7">
        <w:t xml:space="preserve"> № 211-8</w:t>
      </w:r>
      <w:r w:rsidRPr="0048054A">
        <w:t>-</w:t>
      </w:r>
      <w:r w:rsidR="00D84631">
        <w:t>1403</w:t>
      </w:r>
      <w:r w:rsidRPr="0048054A">
        <w:t>:</w:t>
      </w:r>
    </w:p>
    <w:p w:rsidR="00A459A8" w:rsidRDefault="007433A1" w:rsidP="00D77961">
      <w:pPr>
        <w:pStyle w:val="a3"/>
        <w:ind w:firstLine="709"/>
      </w:pPr>
      <w:r>
        <w:rPr>
          <w:spacing w:val="-2"/>
        </w:rPr>
        <w:t xml:space="preserve">Теплоснабжение с </w:t>
      </w:r>
      <w:r w:rsidR="002A02B8">
        <w:rPr>
          <w:spacing w:val="-2"/>
        </w:rPr>
        <w:t xml:space="preserve">планируемой </w:t>
      </w:r>
      <w:r>
        <w:rPr>
          <w:spacing w:val="-2"/>
        </w:rPr>
        <w:t>нагрузкой 0,33</w:t>
      </w:r>
      <w:r w:rsidR="0095730E" w:rsidRPr="007D2A39">
        <w:rPr>
          <w:spacing w:val="-2"/>
        </w:rPr>
        <w:t xml:space="preserve"> Гкал/</w:t>
      </w:r>
      <w:proofErr w:type="gramStart"/>
      <w:r w:rsidR="0095730E" w:rsidRPr="007D2A39">
        <w:rPr>
          <w:spacing w:val="-2"/>
        </w:rPr>
        <w:t>час</w:t>
      </w:r>
      <w:proofErr w:type="gramEnd"/>
      <w:r w:rsidR="0095730E" w:rsidRPr="007D2A39">
        <w:rPr>
          <w:spacing w:val="-2"/>
        </w:rPr>
        <w:t xml:space="preserve"> возможно осуществить в тепловые сети ОАО «Красноярская </w:t>
      </w:r>
      <w:proofErr w:type="spellStart"/>
      <w:r w:rsidR="0095730E" w:rsidRPr="007D2A39">
        <w:rPr>
          <w:spacing w:val="-2"/>
        </w:rPr>
        <w:t>теплотранспортная</w:t>
      </w:r>
      <w:proofErr w:type="spellEnd"/>
      <w:r w:rsidR="0095730E" w:rsidRPr="007D2A39">
        <w:rPr>
          <w:spacing w:val="-2"/>
        </w:rPr>
        <w:t xml:space="preserve"> компания»,</w:t>
      </w:r>
      <w:r w:rsidR="00AD0C46">
        <w:rPr>
          <w:spacing w:val="-2"/>
        </w:rPr>
        <w:t xml:space="preserve"> в ТК 031503А</w:t>
      </w:r>
      <w:r w:rsidR="00D30EBC">
        <w:rPr>
          <w:spacing w:val="-2"/>
        </w:rPr>
        <w:t>, на основании заключенного договора о подключении к системам теплоснабжения</w:t>
      </w:r>
      <w:r w:rsidR="009D2FA7">
        <w:rPr>
          <w:spacing w:val="-2"/>
        </w:rPr>
        <w:t xml:space="preserve">. Срок подключения к тепловым сетям </w:t>
      </w:r>
      <w:r w:rsidR="00A459A8">
        <w:rPr>
          <w:spacing w:val="-2"/>
        </w:rPr>
        <w:t>–</w:t>
      </w:r>
      <w:r w:rsidR="0095730E" w:rsidRPr="007D2A39">
        <w:rPr>
          <w:spacing w:val="-2"/>
        </w:rPr>
        <w:t xml:space="preserve"> </w:t>
      </w:r>
      <w:r w:rsidR="00A459A8">
        <w:rPr>
          <w:spacing w:val="-2"/>
        </w:rPr>
        <w:t>не ранее срока реализации мероприятий</w:t>
      </w:r>
      <w:r w:rsidR="0095730E">
        <w:rPr>
          <w:spacing w:val="-2"/>
        </w:rPr>
        <w:t xml:space="preserve"> </w:t>
      </w:r>
      <w:r w:rsidR="00D2449C">
        <w:rPr>
          <w:spacing w:val="-2"/>
        </w:rPr>
        <w:t>и</w:t>
      </w:r>
      <w:r w:rsidR="0095730E">
        <w:rPr>
          <w:spacing w:val="-2"/>
        </w:rPr>
        <w:t>нвестиционной программы</w:t>
      </w:r>
      <w:r w:rsidR="006B7AAE">
        <w:rPr>
          <w:spacing w:val="-2"/>
        </w:rPr>
        <w:t xml:space="preserve">                    </w:t>
      </w:r>
      <w:r w:rsidR="0095730E">
        <w:rPr>
          <w:spacing w:val="-2"/>
        </w:rPr>
        <w:t xml:space="preserve"> ОАО «Красноярская </w:t>
      </w:r>
      <w:proofErr w:type="spellStart"/>
      <w:r w:rsidR="0095730E">
        <w:rPr>
          <w:spacing w:val="-2"/>
        </w:rPr>
        <w:t>теплотранспортная</w:t>
      </w:r>
      <w:proofErr w:type="spellEnd"/>
      <w:r w:rsidR="0095730E">
        <w:rPr>
          <w:spacing w:val="-2"/>
        </w:rPr>
        <w:t xml:space="preserve"> компания»</w:t>
      </w:r>
      <w:r w:rsidR="0095730E" w:rsidRPr="007D2A39">
        <w:rPr>
          <w:spacing w:val="-2"/>
        </w:rPr>
        <w:t xml:space="preserve"> </w:t>
      </w:r>
      <w:r w:rsidR="0095730E">
        <w:rPr>
          <w:spacing w:val="-2"/>
        </w:rPr>
        <w:t xml:space="preserve">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0095730E">
        <w:rPr>
          <w:spacing w:val="-2"/>
        </w:rPr>
        <w:t>теплотранспортная</w:t>
      </w:r>
      <w:proofErr w:type="spellEnd"/>
      <w:r w:rsidR="0095730E">
        <w:rPr>
          <w:spacing w:val="-2"/>
        </w:rPr>
        <w:t xml:space="preserve"> компания» составляет 7030,225 тыс. рублей без НДС за 1 Гкал/час на 2013-2016 годы.</w:t>
      </w:r>
      <w:r w:rsidR="00863F93">
        <w:rPr>
          <w:spacing w:val="-2"/>
        </w:rPr>
        <w:t xml:space="preserve"> Срок действия</w:t>
      </w:r>
      <w:r w:rsidR="00894F60">
        <w:rPr>
          <w:spacing w:val="-2"/>
        </w:rPr>
        <w:t xml:space="preserve"> технических условий и информации о плате</w:t>
      </w:r>
      <w:r w:rsidR="00863F93">
        <w:rPr>
          <w:spacing w:val="-2"/>
        </w:rPr>
        <w:t>: до 11.12</w:t>
      </w:r>
      <w:r w:rsidR="00A459A8">
        <w:rPr>
          <w:spacing w:val="-2"/>
        </w:rPr>
        <w:t>.2015 года.</w:t>
      </w:r>
    </w:p>
    <w:p w:rsidR="00C940A9" w:rsidRPr="008E12A9" w:rsidRDefault="00C940A9" w:rsidP="00D77961">
      <w:pPr>
        <w:pStyle w:val="a3"/>
        <w:ind w:firstLine="709"/>
      </w:pPr>
      <w:r>
        <w:t>Победитель аукциона самостоятельно, за счет собственных средств освобождает земельный участок от</w:t>
      </w:r>
      <w:r w:rsidR="006D6AFD">
        <w:t xml:space="preserve"> самовольно размещенного</w:t>
      </w:r>
      <w:r w:rsidR="00CD5DB1">
        <w:t xml:space="preserve"> </w:t>
      </w:r>
      <w:r w:rsidR="009C30B2">
        <w:t xml:space="preserve">нежилого </w:t>
      </w:r>
      <w:r w:rsidR="00CD5DB1">
        <w:t>строения</w:t>
      </w:r>
      <w:r>
        <w:t>.</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w:t>
      </w:r>
      <w:proofErr w:type="gramStart"/>
      <w:r w:rsidR="00C52E4B" w:rsidRPr="00C52E4B">
        <w:rPr>
          <w:rFonts w:eastAsia="Calibri"/>
          <w:lang w:eastAsia="en-US"/>
        </w:rPr>
        <w:t>г</w:t>
      </w:r>
      <w:proofErr w:type="gramEnd"/>
      <w:r w:rsidR="00C52E4B" w:rsidRPr="00C52E4B">
        <w:rPr>
          <w:rFonts w:eastAsia="Calibri"/>
          <w:lang w:eastAsia="en-US"/>
        </w:rPr>
        <w:t xml:space="preserve">.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D77961">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EC4C60">
        <w:rPr>
          <w:color w:val="000000" w:themeColor="text1"/>
        </w:rPr>
        <w:t>от 1</w:t>
      </w:r>
      <w:r w:rsidR="00EC4C60">
        <w:rPr>
          <w:color w:val="000000" w:themeColor="text1"/>
        </w:rPr>
        <w:t>7</w:t>
      </w:r>
      <w:r w:rsidRPr="00EC4C60">
        <w:rPr>
          <w:color w:val="000000" w:themeColor="text1"/>
        </w:rPr>
        <w:t>.</w:t>
      </w:r>
      <w:r w:rsidR="00A44781" w:rsidRPr="00EC4C60">
        <w:rPr>
          <w:color w:val="000000" w:themeColor="text1"/>
        </w:rPr>
        <w:t>0</w:t>
      </w:r>
      <w:r w:rsidR="00831A83" w:rsidRPr="00EC4C60">
        <w:rPr>
          <w:color w:val="000000" w:themeColor="text1"/>
        </w:rPr>
        <w:t>1</w:t>
      </w:r>
      <w:r w:rsidRPr="00EC4C60">
        <w:rPr>
          <w:color w:val="000000" w:themeColor="text1"/>
        </w:rPr>
        <w:t>.201</w:t>
      </w:r>
      <w:r w:rsidR="00A44781" w:rsidRPr="00EC4C60">
        <w:rPr>
          <w:color w:val="000000" w:themeColor="text1"/>
        </w:rPr>
        <w:t>4</w:t>
      </w:r>
      <w:r w:rsidRPr="00EC4C60">
        <w:rPr>
          <w:color w:val="000000" w:themeColor="text1"/>
        </w:rPr>
        <w:t xml:space="preserve"> №  </w:t>
      </w:r>
      <w:r w:rsidR="00EC4C60">
        <w:rPr>
          <w:color w:val="000000" w:themeColor="text1"/>
        </w:rPr>
        <w:t>49</w:t>
      </w:r>
      <w:r w:rsidRPr="00EC4C60">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9C7CC4" w:rsidRDefault="009C7CC4" w:rsidP="00D77961">
      <w:pPr>
        <w:pStyle w:val="a6"/>
        <w:autoSpaceDE w:val="0"/>
        <w:autoSpaceDN w:val="0"/>
        <w:adjustRightInd w:val="0"/>
        <w:ind w:left="0" w:firstLine="709"/>
        <w:jc w:val="both"/>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D77961">
      <w:pPr>
        <w:autoSpaceDE w:val="0"/>
        <w:autoSpaceDN w:val="0"/>
        <w:adjustRightInd w:val="0"/>
        <w:ind w:firstLine="709"/>
        <w:jc w:val="both"/>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C7CC4" w:rsidRDefault="009C7CC4" w:rsidP="00D77961">
      <w:pPr>
        <w:autoSpaceDE w:val="0"/>
        <w:autoSpaceDN w:val="0"/>
        <w:adjustRightInd w:val="0"/>
        <w:ind w:firstLine="709"/>
        <w:jc w:val="both"/>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FB5B1C" w:rsidRPr="00FB5B1C">
        <w:rPr>
          <w:color w:val="000000"/>
        </w:rPr>
        <w:t>5 960 000</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661006">
        <w:t xml:space="preserve"> 298 000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адатка: 10</w:t>
      </w:r>
      <w:r w:rsidR="00F23771" w:rsidRPr="009D2FA7">
        <w:t>0 %, что составляет –</w:t>
      </w:r>
      <w:r w:rsidR="003A2AC9">
        <w:t xml:space="preserve"> </w:t>
      </w:r>
      <w:r w:rsidR="003A2AC9" w:rsidRPr="003A2AC9">
        <w:rPr>
          <w:color w:val="000000"/>
        </w:rPr>
        <w:t>5 960 000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AB7979" w:rsidRPr="00AB7979">
        <w:rPr>
          <w:rFonts w:ascii="Times New Roman" w:hAnsi="Times New Roman"/>
          <w:b w:val="0"/>
          <w:sz w:val="24"/>
          <w:szCs w:val="24"/>
        </w:rPr>
        <w:t xml:space="preserve"> </w:t>
      </w:r>
      <w:proofErr w:type="spellStart"/>
      <w:r w:rsidR="00AB7979" w:rsidRPr="00AB7979">
        <w:rPr>
          <w:rFonts w:ascii="Times New Roman" w:hAnsi="Times New Roman"/>
          <w:b w:val="0"/>
          <w:sz w:val="24"/>
          <w:szCs w:val="24"/>
        </w:rPr>
        <w:t>пр-кт</w:t>
      </w:r>
      <w:proofErr w:type="spellEnd"/>
      <w:r w:rsidR="00C630FD">
        <w:rPr>
          <w:rFonts w:ascii="Times New Roman" w:hAnsi="Times New Roman"/>
          <w:b w:val="0"/>
          <w:sz w:val="24"/>
          <w:szCs w:val="24"/>
        </w:rPr>
        <w:t xml:space="preserve"> им.</w:t>
      </w:r>
      <w:r w:rsidR="00AB7979" w:rsidRPr="00AB7979">
        <w:rPr>
          <w:rFonts w:ascii="Times New Roman" w:hAnsi="Times New Roman"/>
          <w:b w:val="0"/>
          <w:sz w:val="24"/>
          <w:szCs w:val="24"/>
        </w:rPr>
        <w:t xml:space="preserve"> газеты «Красноярский рабочий», 180</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w:t>
      </w:r>
      <w:proofErr w:type="gramStart"/>
      <w:r w:rsidRPr="009C7CC4">
        <w:t>г</w:t>
      </w:r>
      <w:proofErr w:type="gramEnd"/>
      <w:r w:rsidRPr="009C7CC4">
        <w:t>. Красноярск, 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226-19-90</w:t>
      </w:r>
      <w:r w:rsidR="000163EB">
        <w:t xml:space="preserve"> </w:t>
      </w:r>
      <w:r w:rsidRPr="009C7CC4">
        <w:t>в рабочие дни с 9:00 до 18:00 часов перерыв на обед с 13:00 до 14:00.</w:t>
      </w:r>
    </w:p>
    <w:p w:rsidR="009C7CC4" w:rsidRPr="00706526" w:rsidRDefault="009C7CC4" w:rsidP="00D77961">
      <w:pPr>
        <w:autoSpaceDE w:val="0"/>
        <w:autoSpaceDN w:val="0"/>
        <w:adjustRightInd w:val="0"/>
        <w:ind w:firstLine="709"/>
        <w:jc w:val="both"/>
      </w:pPr>
      <w:r w:rsidRPr="009C7CC4">
        <w:t>Начало приема заявок</w:t>
      </w:r>
      <w:r w:rsidRPr="00706526">
        <w:t>:</w:t>
      </w:r>
      <w:r w:rsidR="00AE7AD7">
        <w:t xml:space="preserve"> с</w:t>
      </w:r>
      <w:r w:rsidRPr="00706526">
        <w:t xml:space="preserve"> «</w:t>
      </w:r>
      <w:r w:rsidR="00AE7AD7">
        <w:t>23</w:t>
      </w:r>
      <w:r w:rsidRPr="00706526">
        <w:t>»</w:t>
      </w:r>
      <w:r w:rsidR="000163EB">
        <w:t xml:space="preserve"> </w:t>
      </w:r>
      <w:r w:rsidR="00AE7AD7">
        <w:t>января</w:t>
      </w:r>
      <w:r w:rsidR="000163EB">
        <w:t xml:space="preserve"> </w:t>
      </w:r>
      <w:r w:rsidRPr="00706526">
        <w:t>201</w:t>
      </w:r>
      <w:r w:rsidR="009D2FA7">
        <w:t>4</w:t>
      </w:r>
      <w:r w:rsidRPr="00706526">
        <w:t xml:space="preserve"> года. </w:t>
      </w:r>
    </w:p>
    <w:p w:rsidR="009C7CC4" w:rsidRPr="009C7CC4" w:rsidRDefault="009C7CC4" w:rsidP="00D77961">
      <w:pPr>
        <w:autoSpaceDE w:val="0"/>
        <w:autoSpaceDN w:val="0"/>
        <w:adjustRightInd w:val="0"/>
        <w:ind w:firstLine="709"/>
        <w:jc w:val="both"/>
      </w:pPr>
      <w:r w:rsidRPr="00FF1C99">
        <w:t xml:space="preserve">Окончание приема заявок: </w:t>
      </w:r>
      <w:r w:rsidR="00FF1C99" w:rsidRPr="00FF1C99">
        <w:t>до 10:00</w:t>
      </w:r>
      <w:r w:rsidR="000163EB">
        <w:t xml:space="preserve"> </w:t>
      </w:r>
      <w:r w:rsidRPr="00FF1C99">
        <w:t>«</w:t>
      </w:r>
      <w:r w:rsidR="00AE7AD7">
        <w:t>18</w:t>
      </w:r>
      <w:r w:rsidRPr="00FF1C99">
        <w:t>»</w:t>
      </w:r>
      <w:r w:rsidR="000163EB">
        <w:t xml:space="preserve"> </w:t>
      </w:r>
      <w:r w:rsidR="00F82AEF">
        <w:t>февраля</w:t>
      </w:r>
      <w:r w:rsidR="000163EB">
        <w:t xml:space="preserve"> </w:t>
      </w:r>
      <w:r w:rsidR="009D2FA7">
        <w:t>2014</w:t>
      </w:r>
      <w:r w:rsidRPr="00FF1C99">
        <w:t xml:space="preserve"> года.</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lastRenderedPageBreak/>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AE7AD7">
        <w:t>20</w:t>
      </w:r>
      <w:r w:rsidR="00706526">
        <w:t>»</w:t>
      </w:r>
      <w:r w:rsidR="000163EB">
        <w:t xml:space="preserve"> </w:t>
      </w:r>
      <w:r w:rsidR="00AE7AD7">
        <w:t>февраля</w:t>
      </w:r>
      <w:r w:rsidR="000163EB">
        <w:t xml:space="preserve">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Pr="00706526">
        <w:t>«</w:t>
      </w:r>
      <w:r w:rsidR="00AE7AD7">
        <w:t>2</w:t>
      </w:r>
      <w:r w:rsidR="003D0F76">
        <w:t>5</w:t>
      </w:r>
      <w:r w:rsidRPr="00706526">
        <w:t xml:space="preserve">» </w:t>
      </w:r>
      <w:r w:rsidR="00AE7AD7">
        <w:t>февраля</w:t>
      </w:r>
      <w:r w:rsidR="009D2FA7">
        <w:t xml:space="preserve"> 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AE7AD7" w:rsidRPr="00AE7AD7">
        <w:t>«2</w:t>
      </w:r>
      <w:r w:rsidR="003D0F76">
        <w:t>5</w:t>
      </w:r>
      <w:r w:rsidR="00AE7AD7" w:rsidRPr="00AE7AD7">
        <w:t>» ф</w:t>
      </w:r>
      <w:bookmarkStart w:id="0" w:name="_GoBack"/>
      <w:bookmarkEnd w:id="0"/>
      <w:r w:rsidR="00AE7AD7" w:rsidRPr="00AE7AD7">
        <w:t xml:space="preserve">евраля </w:t>
      </w:r>
      <w:r w:rsidR="00680717" w:rsidRPr="00706526">
        <w:t>201</w:t>
      </w:r>
      <w:r w:rsidR="009D2FA7">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proofErr w:type="spellStart"/>
      <w:r w:rsidR="007313A1" w:rsidRPr="007313A1">
        <w:rPr>
          <w:rFonts w:ascii="Times New Roman" w:hAnsi="Times New Roman"/>
          <w:b w:val="0"/>
          <w:sz w:val="24"/>
          <w:szCs w:val="24"/>
        </w:rPr>
        <w:t>пр-кт</w:t>
      </w:r>
      <w:proofErr w:type="spellEnd"/>
      <w:r w:rsidR="00C630FD">
        <w:rPr>
          <w:rFonts w:ascii="Times New Roman" w:hAnsi="Times New Roman"/>
          <w:b w:val="0"/>
          <w:sz w:val="24"/>
          <w:szCs w:val="24"/>
        </w:rPr>
        <w:t xml:space="preserve"> им.</w:t>
      </w:r>
      <w:r w:rsidR="007313A1" w:rsidRPr="007313A1">
        <w:rPr>
          <w:rFonts w:ascii="Times New Roman" w:hAnsi="Times New Roman"/>
          <w:b w:val="0"/>
          <w:sz w:val="24"/>
          <w:szCs w:val="24"/>
        </w:rPr>
        <w:t xml:space="preserve"> газеты «Красноярский рабочий», 180</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r w:rsidR="00180924">
        <w:rPr>
          <w:rFonts w:ascii="Times New Roman" w:hAnsi="Times New Roman"/>
          <w:b w:val="0"/>
          <w:color w:val="000000"/>
          <w:sz w:val="24"/>
          <w:szCs w:val="24"/>
        </w:rPr>
        <w:t xml:space="preserve">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 xml:space="preserve">департамента градостроительства                                                                                 </w:t>
      </w:r>
      <w:r w:rsidR="001C2AEC">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7C0427" w:rsidP="00DA7761">
      <w:pPr>
        <w:jc w:val="center"/>
      </w:pPr>
      <w:r>
        <w:rPr>
          <w:noProof/>
        </w:rPr>
        <w:drawing>
          <wp:inline distT="0" distB="0" distL="0" distR="0">
            <wp:extent cx="6299835" cy="4451504"/>
            <wp:effectExtent l="19050" t="0" r="5715" b="0"/>
            <wp:docPr id="7" name="Рисунок 4" descr="C:\Users\pazenkoiv\Desktop\Уменьшение размеров\Image2014011716084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zenkoiv\Desktop\Уменьшение размеров\Image20140117160848-001.jpg"/>
                    <pic:cNvPicPr>
                      <a:picLocks noChangeAspect="1" noChangeArrowheads="1"/>
                    </pic:cNvPicPr>
                  </pic:nvPicPr>
                  <pic:blipFill>
                    <a:blip r:embed="rId9"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E3710F" w:rsidP="00DA7761">
      <w:pPr>
        <w:jc w:val="center"/>
      </w:pPr>
      <w:r>
        <w:rPr>
          <w:noProof/>
        </w:rPr>
        <w:drawing>
          <wp:inline distT="0" distB="0" distL="0" distR="0">
            <wp:extent cx="6299835" cy="4451504"/>
            <wp:effectExtent l="19050" t="0" r="5715" b="0"/>
            <wp:docPr id="6" name="Рисунок 3" descr="C:\Users\pazenkoiv\Desktop\Уменьшение размеров\Image2014011716084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zenkoiv\Desktop\Уменьшение размеров\Image20140117160849-002.jpg"/>
                    <pic:cNvPicPr>
                      <a:picLocks noChangeAspect="1" noChangeArrowheads="1"/>
                    </pic:cNvPicPr>
                  </pic:nvPicPr>
                  <pic:blipFill>
                    <a:blip r:embed="rId10"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EE2E30" w:rsidRDefault="00EE2E30" w:rsidP="00BF0C98"/>
    <w:p w:rsidR="0098288D" w:rsidRDefault="0098288D" w:rsidP="0098288D">
      <w:pPr>
        <w:ind w:left="4680"/>
        <w:rPr>
          <w:u w:val="single"/>
        </w:rPr>
      </w:pPr>
      <w:r>
        <w:lastRenderedPageBreak/>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tblPr>
      <w:tblGrid>
        <w:gridCol w:w="1802"/>
        <w:gridCol w:w="1897"/>
        <w:gridCol w:w="2693"/>
        <w:gridCol w:w="3686"/>
      </w:tblGrid>
      <w:tr w:rsidR="00EE5B41" w:rsidTr="00EE5B4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6113E2">
              <w:rPr>
                <w:noProof/>
              </w:rPr>
              <w:t>2014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61" w:rsidRDefault="00D77961" w:rsidP="00D92637">
      <w:r>
        <w:separator/>
      </w:r>
    </w:p>
  </w:endnote>
  <w:endnote w:type="continuationSeparator" w:id="0">
    <w:p w:rsidR="00D77961" w:rsidRDefault="00D77961"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61" w:rsidRDefault="00D77961" w:rsidP="00D92637">
      <w:r>
        <w:separator/>
      </w:r>
    </w:p>
  </w:footnote>
  <w:footnote w:type="continuationSeparator" w:id="0">
    <w:p w:rsidR="00D77961" w:rsidRDefault="00D77961"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478"/>
    <w:rsid w:val="001836CA"/>
    <w:rsid w:val="00183753"/>
    <w:rsid w:val="00186D0A"/>
    <w:rsid w:val="00187DEE"/>
    <w:rsid w:val="00190759"/>
    <w:rsid w:val="00191019"/>
    <w:rsid w:val="0019108B"/>
    <w:rsid w:val="001914D4"/>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1D5"/>
    <w:rsid w:val="006B7708"/>
    <w:rsid w:val="006B7AAE"/>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4E93"/>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0EF2"/>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3A2D"/>
    <w:rsid w:val="00FD4084"/>
    <w:rsid w:val="00FD49CF"/>
    <w:rsid w:val="00FD4E24"/>
    <w:rsid w:val="00FD5B97"/>
    <w:rsid w:val="00FD65E3"/>
    <w:rsid w:val="00FD66E8"/>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khjZJQwXGKTzhIAlVbiFJ+cNicK3hCrs67VS5CiyCLA=</DigestValue>
    </Reference>
    <Reference URI="#idOfficeObject" Type="http://www.w3.org/2000/09/xmldsig#Object">
      <DigestMethod Algorithm="urn:ietf:params:xml:ns:cpxmlsec:algorithms:gostr3411"/>
      <DigestValue>KIeKgjWwWG/Eet47EfZd9UMyHJb9cRmeupQTW1GFlus=</DigestValue>
    </Reference>
  </SignedInfo>
  <SignatureValue>1t54jrgF8QAyJypSHSR6hW/StfkOE3hKBSfwi1vR0AsYvODaJTTCS+NyopMDpdwY
3Qa+cOyU3yi4uot6kLoOBA==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2ULmG8th9bLoKhX21iCzgRTYEs0=</DigestValue>
      </Reference>
      <Reference URI="/word/endnotes.xml?ContentType=application/vnd.openxmlformats-officedocument.wordprocessingml.endnotes+xml">
        <DigestMethod Algorithm="http://www.w3.org/2000/09/xmldsig#sha1"/>
        <DigestValue>HS59laic6o+WNRu9+b3dc2JDGyg=</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YxH66QmDpBZMR26Lf86hG1A310A=</DigestValue>
      </Reference>
      <Reference URI="/word/media/image1.jpeg?ContentType=image/jpeg">
        <DigestMethod Algorithm="http://www.w3.org/2000/09/xmldsig#sha1"/>
        <DigestValue>6zq3lKuLrQXOIzlI1jwvP6X0NC0=</DigestValue>
      </Reference>
      <Reference URI="/word/media/image2.jpeg?ContentType=image/jpeg">
        <DigestMethod Algorithm="http://www.w3.org/2000/09/xmldsig#sha1"/>
        <DigestValue>ih61erU98YpTIqg67CMyXNCyYMk=</DigestValue>
      </Reference>
      <Reference URI="/word/numbering.xml?ContentType=application/vnd.openxmlformats-officedocument.wordprocessingml.numbering+xml">
        <DigestMethod Algorithm="http://www.w3.org/2000/09/xmldsig#sha1"/>
        <DigestValue>XRPICh6+04iSWKe7Jfcq2auEicE=</DigestValue>
      </Reference>
      <Reference URI="/word/settings.xml?ContentType=application/vnd.openxmlformats-officedocument.wordprocessingml.settings+xml">
        <DigestMethod Algorithm="http://www.w3.org/2000/09/xmldsig#sha1"/>
        <DigestValue>DMiSnXWvMidPajuIq1UscScQgo0=</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2014-01-21T02:16:14Z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28C93B-FA8A-4E77-B79A-EFFEE3B978D7}"/>
</file>

<file path=customXml/itemProps2.xml><?xml version="1.0" encoding="utf-8"?>
<ds:datastoreItem xmlns:ds="http://schemas.openxmlformats.org/officeDocument/2006/customXml" ds:itemID="{C9583DB7-6C8A-47B7-B7B5-61E7FB9CD414}"/>
</file>

<file path=customXml/itemProps3.xml><?xml version="1.0" encoding="utf-8"?>
<ds:datastoreItem xmlns:ds="http://schemas.openxmlformats.org/officeDocument/2006/customXml" ds:itemID="{F795CAF9-8CE6-4328-8430-D6945E9AC3AF}"/>
</file>

<file path=customXml/itemProps4.xml><?xml version="1.0" encoding="utf-8"?>
<ds:datastoreItem xmlns:ds="http://schemas.openxmlformats.org/officeDocument/2006/customXml" ds:itemID="{EE0A1AE8-5FF9-4941-B031-F69583A380B4}"/>
</file>

<file path=docProps/app.xml><?xml version="1.0" encoding="utf-8"?>
<Properties xmlns="http://schemas.openxmlformats.org/officeDocument/2006/extended-properties" xmlns:vt="http://schemas.openxmlformats.org/officeDocument/2006/docPropsVTypes">
  <Template>Normal</Template>
  <TotalTime>18</TotalTime>
  <Pages>15</Pages>
  <Words>5851</Words>
  <Characters>33357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5</cp:revision>
  <cp:lastPrinted>2014-01-20T02:58:00Z</cp:lastPrinted>
  <dcterms:created xsi:type="dcterms:W3CDTF">2014-01-20T09:02:00Z</dcterms:created>
  <dcterms:modified xsi:type="dcterms:W3CDTF">2014-01-21T02:15:00Z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